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FF18" w14:textId="61EF8463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 xml:space="preserve"> OPCO – AMENDED &amp; RESTATED OPERATING AGREEMENT</w:t>
      </w:r>
    </w:p>
    <w:p w14:paraId="50AC39AC" w14:textId="77777777" w:rsidR="008D7A3D" w:rsidRPr="008D7A3D" w:rsidRDefault="008D7A3D" w:rsidP="008D7A3D">
      <w:r w:rsidRPr="008D7A3D">
        <w:rPr>
          <w:i/>
          <w:iCs/>
        </w:rPr>
        <w:t>(Partner Buyout + Recapitalization Structure)</w:t>
      </w:r>
    </w:p>
    <w:p w14:paraId="7A2D625C" w14:textId="77777777" w:rsidR="008D7A3D" w:rsidRPr="008D7A3D" w:rsidRDefault="008D7A3D" w:rsidP="008D7A3D">
      <w:r w:rsidRPr="008D7A3D">
        <w:pict w14:anchorId="42403D1E">
          <v:rect id="_x0000_i1109" style="width:0;height:1.5pt" o:hralign="center" o:hrstd="t" o:hr="t" fillcolor="#a0a0a0" stroked="f"/>
        </w:pict>
      </w:r>
    </w:p>
    <w:p w14:paraId="3A234C52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 – Ownership Structure</w:t>
      </w:r>
    </w:p>
    <w:p w14:paraId="7733CB04" w14:textId="77777777" w:rsidR="008D7A3D" w:rsidRPr="008D7A3D" w:rsidRDefault="008D7A3D" w:rsidP="008D7A3D">
      <w:r w:rsidRPr="008D7A3D">
        <w:t>1.1 Membership Interests:</w:t>
      </w:r>
      <w:r w:rsidRPr="008D7A3D">
        <w:br/>
        <w:t>MJ – 51%</w:t>
      </w:r>
      <w:r w:rsidRPr="008D7A3D">
        <w:br/>
        <w:t>BG – 24.5%</w:t>
      </w:r>
      <w:r w:rsidRPr="008D7A3D">
        <w:br/>
        <w:t>OG – 24.5%</w:t>
      </w:r>
    </w:p>
    <w:p w14:paraId="19004181" w14:textId="77777777" w:rsidR="008D7A3D" w:rsidRPr="008D7A3D" w:rsidRDefault="008D7A3D" w:rsidP="008D7A3D">
      <w:r w:rsidRPr="008D7A3D">
        <w:t>1.2 All Membership Interests are fully vested.</w:t>
      </w:r>
    </w:p>
    <w:p w14:paraId="39DDBED1" w14:textId="77777777" w:rsidR="008D7A3D" w:rsidRPr="008D7A3D" w:rsidRDefault="008D7A3D" w:rsidP="008D7A3D">
      <w:r w:rsidRPr="008D7A3D">
        <w:pict w14:anchorId="357577C6">
          <v:rect id="_x0000_i1110" style="width:0;height:1.5pt" o:hralign="center" o:hrstd="t" o:hr="t" fillcolor="#a0a0a0" stroked="f"/>
        </w:pict>
      </w:r>
    </w:p>
    <w:p w14:paraId="0AEE204F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2 – Management and Operations</w:t>
      </w:r>
    </w:p>
    <w:p w14:paraId="6C5A3C01" w14:textId="77777777" w:rsidR="008D7A3D" w:rsidRPr="008D7A3D" w:rsidRDefault="008D7A3D" w:rsidP="008D7A3D">
      <w:r w:rsidRPr="008D7A3D">
        <w:t>2.1 Day-to-day operations shall be managed by the executive team, led by the CEO.</w:t>
      </w:r>
    </w:p>
    <w:p w14:paraId="5CBCF33D" w14:textId="77777777" w:rsidR="008D7A3D" w:rsidRPr="008D7A3D" w:rsidRDefault="008D7A3D" w:rsidP="008D7A3D">
      <w:r w:rsidRPr="008D7A3D">
        <w:t>2.2 Operational decisions that do not materially impact financial performance may be implemented without Supermajority approval.</w:t>
      </w:r>
    </w:p>
    <w:p w14:paraId="57CC552F" w14:textId="77777777" w:rsidR="008D7A3D" w:rsidRPr="008D7A3D" w:rsidRDefault="008D7A3D" w:rsidP="008D7A3D">
      <w:r w:rsidRPr="008D7A3D">
        <w:t>2.3 The Members acknowledge the importance of operational agility.</w:t>
      </w:r>
    </w:p>
    <w:p w14:paraId="54ECC6BD" w14:textId="77777777" w:rsidR="008D7A3D" w:rsidRPr="008D7A3D" w:rsidRDefault="008D7A3D" w:rsidP="008D7A3D">
      <w:r w:rsidRPr="008D7A3D">
        <w:pict w14:anchorId="7680B288">
          <v:rect id="_x0000_i1111" style="width:0;height:1.5pt" o:hralign="center" o:hrstd="t" o:hr="t" fillcolor="#a0a0a0" stroked="f"/>
        </w:pict>
      </w:r>
    </w:p>
    <w:p w14:paraId="1A911242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3 – Strategic and Financial Decisions (Supermajority)</w:t>
      </w:r>
    </w:p>
    <w:p w14:paraId="4A764066" w14:textId="77777777" w:rsidR="008D7A3D" w:rsidRPr="008D7A3D" w:rsidRDefault="008D7A3D" w:rsidP="008D7A3D">
      <w:r w:rsidRPr="008D7A3D">
        <w:t>Approval of Members holding at least seventy percent (70%) shall be required for any decision that may reasonably:</w:t>
      </w:r>
    </w:p>
    <w:p w14:paraId="35915B67" w14:textId="77777777" w:rsidR="008D7A3D" w:rsidRPr="008D7A3D" w:rsidRDefault="008D7A3D" w:rsidP="008D7A3D">
      <w:r w:rsidRPr="008D7A3D">
        <w:t>(a) Increase or refinance indebtedness</w:t>
      </w:r>
      <w:r w:rsidRPr="008D7A3D">
        <w:br/>
        <w:t>(b) Create guarantees or financial obligations</w:t>
      </w:r>
      <w:r w:rsidRPr="008D7A3D">
        <w:br/>
        <w:t>(c) Modify capital structure or equity ownership</w:t>
      </w:r>
      <w:r w:rsidRPr="008D7A3D">
        <w:br/>
        <w:t>(d) Approve capital expenditures outside approved budgets</w:t>
      </w:r>
      <w:r w:rsidRPr="008D7A3D">
        <w:br/>
        <w:t>(e) Enter into related-party transactions</w:t>
      </w:r>
      <w:r w:rsidRPr="008D7A3D">
        <w:br/>
        <w:t>(f) Modify intercompany agreements, including lease terms</w:t>
      </w:r>
      <w:r w:rsidRPr="008D7A3D">
        <w:br/>
        <w:t>(g) Approve compensation changes materially impacting profitability</w:t>
      </w:r>
      <w:r w:rsidRPr="008D7A3D">
        <w:br/>
        <w:t>(h) Enter into material contracts exceeding defined thresholds</w:t>
      </w:r>
      <w:r w:rsidRPr="008D7A3D">
        <w:br/>
        <w:t>(</w:t>
      </w:r>
      <w:proofErr w:type="spellStart"/>
      <w:r w:rsidRPr="008D7A3D">
        <w:t>i</w:t>
      </w:r>
      <w:proofErr w:type="spellEnd"/>
      <w:r w:rsidRPr="008D7A3D">
        <w:t>) Implement decisions that materially impact EBITDA, cash flow, or DSCR</w:t>
      </w:r>
      <w:r w:rsidRPr="008D7A3D">
        <w:br/>
        <w:t>(j) Approve strategic reinvestment or expansion projects</w:t>
      </w:r>
      <w:r w:rsidRPr="008D7A3D">
        <w:br/>
        <w:t>(k) Amend this Agreement</w:t>
      </w:r>
    </w:p>
    <w:p w14:paraId="246C49CC" w14:textId="77777777" w:rsidR="008D7A3D" w:rsidRPr="008D7A3D" w:rsidRDefault="008D7A3D" w:rsidP="008D7A3D">
      <w:r w:rsidRPr="008D7A3D">
        <w:pict w14:anchorId="424DEFCF">
          <v:rect id="_x0000_i1112" style="width:0;height:1.5pt" o:hralign="center" o:hrstd="t" o:hr="t" fillcolor="#a0a0a0" stroked="f"/>
        </w:pict>
      </w:r>
    </w:p>
    <w:p w14:paraId="6957E69B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4 – Executive Roles</w:t>
      </w:r>
    </w:p>
    <w:p w14:paraId="6C36BDCB" w14:textId="77777777" w:rsidR="008D7A3D" w:rsidRPr="008D7A3D" w:rsidRDefault="008D7A3D" w:rsidP="008D7A3D">
      <w:r w:rsidRPr="008D7A3D">
        <w:lastRenderedPageBreak/>
        <w:t>MJ – Chief Executive Officer (CEO)</w:t>
      </w:r>
      <w:r w:rsidRPr="008D7A3D">
        <w:br/>
        <w:t>BG – Chief Financial Officer (CFO)</w:t>
      </w:r>
      <w:r w:rsidRPr="008D7A3D">
        <w:br/>
        <w:t>OG – Chief Operating Officer (COO)</w:t>
      </w:r>
    </w:p>
    <w:p w14:paraId="0B1C0DC2" w14:textId="77777777" w:rsidR="008D7A3D" w:rsidRPr="008D7A3D" w:rsidRDefault="008D7A3D" w:rsidP="008D7A3D">
      <w:r w:rsidRPr="008D7A3D">
        <w:pict w14:anchorId="42F5C153">
          <v:rect id="_x0000_i1113" style="width:0;height:1.5pt" o:hralign="center" o:hrstd="t" o:hr="t" fillcolor="#a0a0a0" stroked="f"/>
        </w:pict>
      </w:r>
    </w:p>
    <w:p w14:paraId="4E488C70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5 – Cash Flow Waterfall</w:t>
      </w:r>
    </w:p>
    <w:p w14:paraId="50409108" w14:textId="77777777" w:rsidR="008D7A3D" w:rsidRPr="008D7A3D" w:rsidRDefault="008D7A3D" w:rsidP="008D7A3D">
      <w:r w:rsidRPr="008D7A3D">
        <w:t>All available cash flow shall be applied in the following order:</w:t>
      </w:r>
    </w:p>
    <w:p w14:paraId="5808D2C5" w14:textId="77777777" w:rsidR="008D7A3D" w:rsidRPr="008D7A3D" w:rsidRDefault="008D7A3D" w:rsidP="008D7A3D">
      <w:r w:rsidRPr="008D7A3D">
        <w:t xml:space="preserve">(1) Operating expenses (including rent to </w:t>
      </w:r>
      <w:proofErr w:type="spellStart"/>
      <w:r w:rsidRPr="008D7A3D">
        <w:t>PropCo</w:t>
      </w:r>
      <w:proofErr w:type="spellEnd"/>
      <w:r w:rsidRPr="008D7A3D">
        <w:t>)</w:t>
      </w:r>
      <w:r w:rsidRPr="008D7A3D">
        <w:br/>
        <w:t>(2) Approved performance compensation</w:t>
      </w:r>
      <w:r w:rsidRPr="008D7A3D">
        <w:br/>
        <w:t>(3) Senior debt service</w:t>
      </w:r>
      <w:r w:rsidRPr="008D7A3D">
        <w:br/>
        <w:t>(4) Working capital reserves</w:t>
      </w:r>
      <w:r w:rsidRPr="008D7A3D">
        <w:br/>
        <w:t>(5) Tax distributions</w:t>
      </w:r>
      <w:r w:rsidRPr="008D7A3D">
        <w:br/>
        <w:t>(6) Seller Note distributions (</w:t>
      </w:r>
      <w:proofErr w:type="spellStart"/>
      <w:r w:rsidRPr="008D7A3D">
        <w:t>cuatrimestral</w:t>
      </w:r>
      <w:proofErr w:type="spellEnd"/>
      <w:r w:rsidRPr="008D7A3D">
        <w:t>)</w:t>
      </w:r>
      <w:r w:rsidRPr="008D7A3D">
        <w:br/>
        <w:t>(7) Seller Note prepayments (subject to DSCR)</w:t>
      </w:r>
      <w:r w:rsidRPr="008D7A3D">
        <w:br/>
        <w:t>(8) Profit distributions</w:t>
      </w:r>
      <w:r w:rsidRPr="008D7A3D">
        <w:br/>
        <w:t>(9) Strategic reinvestment (subject to Supermajority approval)</w:t>
      </w:r>
    </w:p>
    <w:p w14:paraId="658ABADD" w14:textId="77777777" w:rsidR="008D7A3D" w:rsidRPr="008D7A3D" w:rsidRDefault="008D7A3D" w:rsidP="008D7A3D">
      <w:r w:rsidRPr="008D7A3D">
        <w:pict w14:anchorId="690660EC">
          <v:rect id="_x0000_i1114" style="width:0;height:1.5pt" o:hralign="center" o:hrstd="t" o:hr="t" fillcolor="#a0a0a0" stroked="f"/>
        </w:pict>
      </w:r>
    </w:p>
    <w:p w14:paraId="162F8E53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6 – Seller Note Mechanics</w:t>
      </w:r>
    </w:p>
    <w:p w14:paraId="3973B80E" w14:textId="77777777" w:rsidR="008D7A3D" w:rsidRPr="008D7A3D" w:rsidRDefault="008D7A3D" w:rsidP="008D7A3D">
      <w:r w:rsidRPr="008D7A3D">
        <w:t>6.1 The Seller Note shall be an obligation at the Member level, supported by Company distributions.</w:t>
      </w:r>
    </w:p>
    <w:p w14:paraId="2768C9E1" w14:textId="77777777" w:rsidR="008D7A3D" w:rsidRPr="008D7A3D" w:rsidRDefault="008D7A3D" w:rsidP="008D7A3D">
      <w:r w:rsidRPr="008D7A3D">
        <w:t xml:space="preserve">6.2 Payments shall be made on a </w:t>
      </w:r>
      <w:proofErr w:type="spellStart"/>
      <w:r w:rsidRPr="008D7A3D">
        <w:t>cuatrimestral</w:t>
      </w:r>
      <w:proofErr w:type="spellEnd"/>
      <w:r w:rsidRPr="008D7A3D">
        <w:t xml:space="preserve"> basis, subject to available cash flow and lender restrictions.</w:t>
      </w:r>
    </w:p>
    <w:p w14:paraId="7A157994" w14:textId="77777777" w:rsidR="008D7A3D" w:rsidRPr="008D7A3D" w:rsidRDefault="008D7A3D" w:rsidP="008D7A3D">
      <w:r w:rsidRPr="008D7A3D">
        <w:t>6.3 Distributions for Seller Note payments shall:</w:t>
      </w:r>
      <w:r w:rsidRPr="008D7A3D">
        <w:br/>
        <w:t>(a) be allocated proportionally among Members, and</w:t>
      </w:r>
      <w:r w:rsidRPr="008D7A3D">
        <w:br/>
        <w:t xml:space="preserve">(b) be sourced from </w:t>
      </w:r>
      <w:proofErr w:type="spellStart"/>
      <w:r w:rsidRPr="008D7A3D">
        <w:t>OpCo</w:t>
      </w:r>
      <w:proofErr w:type="spellEnd"/>
      <w:r w:rsidRPr="008D7A3D">
        <w:t xml:space="preserve"> and/or </w:t>
      </w:r>
      <w:proofErr w:type="spellStart"/>
      <w:r w:rsidRPr="008D7A3D">
        <w:t>PropCo</w:t>
      </w:r>
      <w:proofErr w:type="spellEnd"/>
      <w:r w:rsidRPr="008D7A3D">
        <w:t xml:space="preserve"> based on financial capacity.</w:t>
      </w:r>
    </w:p>
    <w:p w14:paraId="24E60F7D" w14:textId="77777777" w:rsidR="008D7A3D" w:rsidRPr="008D7A3D" w:rsidRDefault="008D7A3D" w:rsidP="008D7A3D">
      <w:r w:rsidRPr="008D7A3D">
        <w:t>6.4 The Members may determine the optimal source of distributions between entities, provided that:</w:t>
      </w:r>
    </w:p>
    <w:p w14:paraId="28ECF778" w14:textId="77777777" w:rsidR="008D7A3D" w:rsidRPr="008D7A3D" w:rsidRDefault="008D7A3D" w:rsidP="008D7A3D">
      <w:pPr>
        <w:numPr>
          <w:ilvl w:val="0"/>
          <w:numId w:val="1"/>
        </w:numPr>
      </w:pPr>
      <w:r w:rsidRPr="008D7A3D">
        <w:t xml:space="preserve">DSCR compliance is maintained, </w:t>
      </w:r>
    </w:p>
    <w:p w14:paraId="25DE6DE5" w14:textId="77777777" w:rsidR="008D7A3D" w:rsidRPr="008D7A3D" w:rsidRDefault="008D7A3D" w:rsidP="008D7A3D">
      <w:pPr>
        <w:numPr>
          <w:ilvl w:val="0"/>
          <w:numId w:val="1"/>
        </w:numPr>
      </w:pPr>
      <w:r w:rsidRPr="008D7A3D">
        <w:t xml:space="preserve">no entity is financially impaired, </w:t>
      </w:r>
    </w:p>
    <w:p w14:paraId="612A9F9D" w14:textId="77777777" w:rsidR="008D7A3D" w:rsidRPr="008D7A3D" w:rsidRDefault="008D7A3D" w:rsidP="008D7A3D">
      <w:pPr>
        <w:numPr>
          <w:ilvl w:val="0"/>
          <w:numId w:val="1"/>
        </w:numPr>
      </w:pPr>
      <w:r w:rsidRPr="008D7A3D">
        <w:t xml:space="preserve">and no Member is disproportionately advantaged. </w:t>
      </w:r>
    </w:p>
    <w:p w14:paraId="3B3A376E" w14:textId="77777777" w:rsidR="008D7A3D" w:rsidRPr="008D7A3D" w:rsidRDefault="008D7A3D" w:rsidP="008D7A3D">
      <w:r w:rsidRPr="008D7A3D">
        <w:t>6.5 Any material deviation from proportional allocation shall require Supermajority approval.</w:t>
      </w:r>
    </w:p>
    <w:p w14:paraId="436D584B" w14:textId="77777777" w:rsidR="008D7A3D" w:rsidRPr="008D7A3D" w:rsidRDefault="008D7A3D" w:rsidP="008D7A3D">
      <w:r w:rsidRPr="008D7A3D">
        <w:t>6.6 Any deferred Seller Note amounts shall:</w:t>
      </w:r>
      <w:r w:rsidRPr="008D7A3D">
        <w:br/>
        <w:t>(a) accrue interest at the contractual rate, and</w:t>
      </w:r>
      <w:r w:rsidRPr="008D7A3D">
        <w:br/>
        <w:t>(b) be repaid from future available cash flow.</w:t>
      </w:r>
    </w:p>
    <w:p w14:paraId="54E10D36" w14:textId="77777777" w:rsidR="008D7A3D" w:rsidRPr="008D7A3D" w:rsidRDefault="008D7A3D" w:rsidP="008D7A3D">
      <w:r w:rsidRPr="008D7A3D">
        <w:t>6.7 If Seller Note payments are deferred for more than two (2) consecutive periods, the Members shall implement a corrective plan.</w:t>
      </w:r>
    </w:p>
    <w:p w14:paraId="58C4B3E5" w14:textId="77777777" w:rsidR="008D7A3D" w:rsidRPr="008D7A3D" w:rsidRDefault="008D7A3D" w:rsidP="008D7A3D">
      <w:r w:rsidRPr="008D7A3D">
        <w:pict w14:anchorId="34C11A6C">
          <v:rect id="_x0000_i1115" style="width:0;height:1.5pt" o:hralign="center" o:hrstd="t" o:hr="t" fillcolor="#a0a0a0" stroked="f"/>
        </w:pict>
      </w:r>
    </w:p>
    <w:p w14:paraId="0D364BE2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lastRenderedPageBreak/>
        <w:t>Section 7 – DSCR Protection</w:t>
      </w:r>
    </w:p>
    <w:p w14:paraId="7709E1F5" w14:textId="77777777" w:rsidR="008D7A3D" w:rsidRPr="008D7A3D" w:rsidRDefault="008D7A3D" w:rsidP="008D7A3D">
      <w:r w:rsidRPr="008D7A3D">
        <w:t>7.1 A minimum DSCR of 1.20 shall be required for discretionary profit distributions.</w:t>
      </w:r>
    </w:p>
    <w:p w14:paraId="512E716F" w14:textId="77777777" w:rsidR="008D7A3D" w:rsidRPr="008D7A3D" w:rsidRDefault="008D7A3D" w:rsidP="008D7A3D">
      <w:r w:rsidRPr="008D7A3D">
        <w:t>7.2 If DSCR falls below this threshold:</w:t>
      </w:r>
    </w:p>
    <w:p w14:paraId="7DC28BDB" w14:textId="77777777" w:rsidR="008D7A3D" w:rsidRPr="008D7A3D" w:rsidRDefault="008D7A3D" w:rsidP="008D7A3D">
      <w:pPr>
        <w:numPr>
          <w:ilvl w:val="0"/>
          <w:numId w:val="2"/>
        </w:numPr>
      </w:pPr>
      <w:r w:rsidRPr="008D7A3D">
        <w:t xml:space="preserve">Profit distributions shall be suspended </w:t>
      </w:r>
    </w:p>
    <w:p w14:paraId="2B7C5D47" w14:textId="77777777" w:rsidR="008D7A3D" w:rsidRPr="008D7A3D" w:rsidRDefault="008D7A3D" w:rsidP="008D7A3D">
      <w:pPr>
        <w:numPr>
          <w:ilvl w:val="0"/>
          <w:numId w:val="2"/>
        </w:numPr>
      </w:pPr>
      <w:r w:rsidRPr="008D7A3D">
        <w:t xml:space="preserve">Tax distributions may continue </w:t>
      </w:r>
    </w:p>
    <w:p w14:paraId="5D132510" w14:textId="77777777" w:rsidR="008D7A3D" w:rsidRPr="008D7A3D" w:rsidRDefault="008D7A3D" w:rsidP="008D7A3D">
      <w:pPr>
        <w:numPr>
          <w:ilvl w:val="0"/>
          <w:numId w:val="2"/>
        </w:numPr>
      </w:pPr>
      <w:r w:rsidRPr="008D7A3D">
        <w:t xml:space="preserve">Seller Note distributions may continue subject to available cash </w:t>
      </w:r>
    </w:p>
    <w:p w14:paraId="4281C076" w14:textId="77777777" w:rsidR="008D7A3D" w:rsidRPr="008D7A3D" w:rsidRDefault="008D7A3D" w:rsidP="008D7A3D">
      <w:r w:rsidRPr="008D7A3D">
        <w:pict w14:anchorId="6F1F6F28">
          <v:rect id="_x0000_i1116" style="width:0;height:1.5pt" o:hralign="center" o:hrstd="t" o:hr="t" fillcolor="#a0a0a0" stroked="f"/>
        </w:pict>
      </w:r>
    </w:p>
    <w:p w14:paraId="06C14D0E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8 – Intercompany Coordination</w:t>
      </w:r>
    </w:p>
    <w:p w14:paraId="40B5D1ED" w14:textId="77777777" w:rsidR="008D7A3D" w:rsidRPr="008D7A3D" w:rsidRDefault="008D7A3D" w:rsidP="008D7A3D">
      <w:r w:rsidRPr="008D7A3D">
        <w:t xml:space="preserve">8.1 </w:t>
      </w:r>
      <w:proofErr w:type="spellStart"/>
      <w:r w:rsidRPr="008D7A3D">
        <w:t>OpCo</w:t>
      </w:r>
      <w:proofErr w:type="spellEnd"/>
      <w:r w:rsidRPr="008D7A3D">
        <w:t xml:space="preserve"> and </w:t>
      </w:r>
      <w:proofErr w:type="spellStart"/>
      <w:r w:rsidRPr="008D7A3D">
        <w:t>PropCo</w:t>
      </w:r>
      <w:proofErr w:type="spellEnd"/>
      <w:r w:rsidRPr="008D7A3D">
        <w:t xml:space="preserve"> shall operate as an integrated financial system.</w:t>
      </w:r>
    </w:p>
    <w:p w14:paraId="1A4341A6" w14:textId="77777777" w:rsidR="008D7A3D" w:rsidRPr="008D7A3D" w:rsidRDefault="008D7A3D" w:rsidP="008D7A3D">
      <w:r w:rsidRPr="008D7A3D">
        <w:t>8.2 Lease adjustments require Supermajority approval and DSCR compliance validation.</w:t>
      </w:r>
    </w:p>
    <w:p w14:paraId="213A3AE6" w14:textId="77777777" w:rsidR="008D7A3D" w:rsidRPr="008D7A3D" w:rsidRDefault="008D7A3D" w:rsidP="008D7A3D">
      <w:r w:rsidRPr="008D7A3D">
        <w:pict w14:anchorId="23F84E24">
          <v:rect id="_x0000_i1117" style="width:0;height:1.5pt" o:hralign="center" o:hrstd="t" o:hr="t" fillcolor="#a0a0a0" stroked="f"/>
        </w:pict>
      </w:r>
    </w:p>
    <w:p w14:paraId="51F248DE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9 – Seller Protection Framework</w:t>
      </w:r>
    </w:p>
    <w:p w14:paraId="56E25925" w14:textId="77777777" w:rsidR="008D7A3D" w:rsidRPr="008D7A3D" w:rsidRDefault="008D7A3D" w:rsidP="008D7A3D">
      <w:r w:rsidRPr="008D7A3D">
        <w:t>9.1 The Seller Note shall be treated as a priority economic obligation.</w:t>
      </w:r>
    </w:p>
    <w:p w14:paraId="4482BAE1" w14:textId="77777777" w:rsidR="008D7A3D" w:rsidRPr="008D7A3D" w:rsidRDefault="008D7A3D" w:rsidP="008D7A3D">
      <w:r w:rsidRPr="008D7A3D">
        <w:t>9.2 No action shall be taken that materially impairs Seller Note repayment.</w:t>
      </w:r>
    </w:p>
    <w:p w14:paraId="66482CCB" w14:textId="77777777" w:rsidR="008D7A3D" w:rsidRPr="008D7A3D" w:rsidRDefault="008D7A3D" w:rsidP="008D7A3D">
      <w:r w:rsidRPr="008D7A3D">
        <w:t>9.3 Mandatory prepayment shall apply upon:</w:t>
      </w:r>
    </w:p>
    <w:p w14:paraId="79EB4687" w14:textId="77777777" w:rsidR="008D7A3D" w:rsidRPr="008D7A3D" w:rsidRDefault="008D7A3D" w:rsidP="008D7A3D">
      <w:pPr>
        <w:numPr>
          <w:ilvl w:val="0"/>
          <w:numId w:val="3"/>
        </w:numPr>
      </w:pPr>
      <w:r w:rsidRPr="008D7A3D">
        <w:t xml:space="preserve">asset sales </w:t>
      </w:r>
    </w:p>
    <w:p w14:paraId="51FDA0A1" w14:textId="77777777" w:rsidR="008D7A3D" w:rsidRPr="008D7A3D" w:rsidRDefault="008D7A3D" w:rsidP="008D7A3D">
      <w:pPr>
        <w:numPr>
          <w:ilvl w:val="0"/>
          <w:numId w:val="3"/>
        </w:numPr>
      </w:pPr>
      <w:r w:rsidRPr="008D7A3D">
        <w:t xml:space="preserve">refinancing events </w:t>
      </w:r>
    </w:p>
    <w:p w14:paraId="0A08166F" w14:textId="77777777" w:rsidR="008D7A3D" w:rsidRPr="008D7A3D" w:rsidRDefault="008D7A3D" w:rsidP="008D7A3D">
      <w:pPr>
        <w:numPr>
          <w:ilvl w:val="0"/>
          <w:numId w:val="3"/>
        </w:numPr>
      </w:pPr>
      <w:r w:rsidRPr="008D7A3D">
        <w:t xml:space="preserve">extraordinary distributions </w:t>
      </w:r>
    </w:p>
    <w:p w14:paraId="735160E9" w14:textId="77777777" w:rsidR="008D7A3D" w:rsidRPr="008D7A3D" w:rsidRDefault="008D7A3D" w:rsidP="008D7A3D">
      <w:r w:rsidRPr="008D7A3D">
        <w:t>9.4 The Seller Note is subordinate to senior debt but senior to profit distributions.</w:t>
      </w:r>
    </w:p>
    <w:p w14:paraId="13FFBA84" w14:textId="77777777" w:rsidR="008D7A3D" w:rsidRPr="008D7A3D" w:rsidRDefault="008D7A3D" w:rsidP="008D7A3D">
      <w:r w:rsidRPr="008D7A3D">
        <w:t>9.5 Members shall act in good faith to ensure repayment.</w:t>
      </w:r>
    </w:p>
    <w:p w14:paraId="54A314C5" w14:textId="77777777" w:rsidR="008D7A3D" w:rsidRPr="008D7A3D" w:rsidRDefault="008D7A3D" w:rsidP="008D7A3D">
      <w:r w:rsidRPr="008D7A3D">
        <w:pict w14:anchorId="07DA7141">
          <v:rect id="_x0000_i1118" style="width:0;height:1.5pt" o:hralign="center" o:hrstd="t" o:hr="t" fillcolor="#a0a0a0" stroked="f"/>
        </w:pict>
      </w:r>
    </w:p>
    <w:p w14:paraId="0F60B9F6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10 – Transfer Restrictions (Anti-Flip)</w:t>
      </w:r>
    </w:p>
    <w:p w14:paraId="0CCAD788" w14:textId="77777777" w:rsidR="008D7A3D" w:rsidRPr="008D7A3D" w:rsidRDefault="008D7A3D" w:rsidP="008D7A3D">
      <w:r w:rsidRPr="008D7A3D">
        <w:t>10.1 No Member may transfer equity within five (5) years without Supermajority approval.</w:t>
      </w:r>
    </w:p>
    <w:p w14:paraId="5CBB229E" w14:textId="77777777" w:rsidR="008D7A3D" w:rsidRPr="008D7A3D" w:rsidRDefault="008D7A3D" w:rsidP="008D7A3D">
      <w:r w:rsidRPr="008D7A3D">
        <w:t>10.2 Transfers are subject to:</w:t>
      </w:r>
    </w:p>
    <w:p w14:paraId="122BF9AB" w14:textId="77777777" w:rsidR="008D7A3D" w:rsidRPr="008D7A3D" w:rsidRDefault="008D7A3D" w:rsidP="008D7A3D">
      <w:pPr>
        <w:numPr>
          <w:ilvl w:val="0"/>
          <w:numId w:val="4"/>
        </w:numPr>
      </w:pPr>
      <w:r w:rsidRPr="008D7A3D">
        <w:t xml:space="preserve">Right of First Refusal </w:t>
      </w:r>
    </w:p>
    <w:p w14:paraId="3C15C8AC" w14:textId="77777777" w:rsidR="008D7A3D" w:rsidRPr="008D7A3D" w:rsidRDefault="008D7A3D" w:rsidP="008D7A3D">
      <w:pPr>
        <w:numPr>
          <w:ilvl w:val="0"/>
          <w:numId w:val="4"/>
        </w:numPr>
      </w:pPr>
      <w:r w:rsidRPr="008D7A3D">
        <w:t xml:space="preserve">Tag-along rights </w:t>
      </w:r>
    </w:p>
    <w:p w14:paraId="2AC04720" w14:textId="77777777" w:rsidR="008D7A3D" w:rsidRPr="008D7A3D" w:rsidRDefault="008D7A3D" w:rsidP="008D7A3D">
      <w:pPr>
        <w:numPr>
          <w:ilvl w:val="0"/>
          <w:numId w:val="4"/>
        </w:numPr>
      </w:pPr>
      <w:r w:rsidRPr="008D7A3D">
        <w:t xml:space="preserve">Seller Note compliance </w:t>
      </w:r>
    </w:p>
    <w:p w14:paraId="2D756BE5" w14:textId="77777777" w:rsidR="008D7A3D" w:rsidRPr="008D7A3D" w:rsidRDefault="008D7A3D" w:rsidP="008D7A3D">
      <w:r w:rsidRPr="008D7A3D">
        <w:pict w14:anchorId="62378A9A">
          <v:rect id="_x0000_i1119" style="width:0;height:1.5pt" o:hralign="center" o:hrstd="t" o:hr="t" fillcolor="#a0a0a0" stroked="f"/>
        </w:pict>
      </w:r>
    </w:p>
    <w:p w14:paraId="0CB8FECB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11 – Equity Protection</w:t>
      </w:r>
    </w:p>
    <w:p w14:paraId="301379FA" w14:textId="77777777" w:rsidR="008D7A3D" w:rsidRPr="008D7A3D" w:rsidRDefault="008D7A3D" w:rsidP="008D7A3D">
      <w:r w:rsidRPr="008D7A3D">
        <w:lastRenderedPageBreak/>
        <w:t>11.1 No new equity issuance without Supermajority approval.</w:t>
      </w:r>
    </w:p>
    <w:p w14:paraId="763B498D" w14:textId="77777777" w:rsidR="008D7A3D" w:rsidRPr="008D7A3D" w:rsidRDefault="008D7A3D" w:rsidP="008D7A3D">
      <w:r w:rsidRPr="008D7A3D">
        <w:t>11.2 All issuances must be offered pro-rata.</w:t>
      </w:r>
    </w:p>
    <w:p w14:paraId="5B81AF57" w14:textId="77777777" w:rsidR="008D7A3D" w:rsidRPr="008D7A3D" w:rsidRDefault="008D7A3D" w:rsidP="008D7A3D">
      <w:r w:rsidRPr="008D7A3D">
        <w:pict w14:anchorId="07CD146F">
          <v:rect id="_x0000_i1120" style="width:0;height:1.5pt" o:hralign="center" o:hrstd="t" o:hr="t" fillcolor="#a0a0a0" stroked="f"/>
        </w:pict>
      </w:r>
    </w:p>
    <w:p w14:paraId="19308608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12 – Decision Escalation Mechanism</w:t>
      </w:r>
    </w:p>
    <w:p w14:paraId="7592AA2F" w14:textId="77777777" w:rsidR="008D7A3D" w:rsidRPr="008D7A3D" w:rsidRDefault="008D7A3D" w:rsidP="008D7A3D">
      <w:r w:rsidRPr="008D7A3D">
        <w:t>12.1 If Supermajority cannot be reached:</w:t>
      </w:r>
    </w:p>
    <w:p w14:paraId="1697BFA4" w14:textId="77777777" w:rsidR="008D7A3D" w:rsidRPr="008D7A3D" w:rsidRDefault="008D7A3D" w:rsidP="008D7A3D">
      <w:r w:rsidRPr="008D7A3D">
        <w:t>(a) 15-day good faith negotiation</w:t>
      </w:r>
      <w:r w:rsidRPr="008D7A3D">
        <w:br/>
        <w:t>(b) Optional independent advisor review</w:t>
      </w:r>
      <w:r w:rsidRPr="008D7A3D">
        <w:br/>
        <w:t>(c) Maintain status quo prioritizing:</w:t>
      </w:r>
    </w:p>
    <w:p w14:paraId="569FC613" w14:textId="77777777" w:rsidR="008D7A3D" w:rsidRPr="008D7A3D" w:rsidRDefault="008D7A3D" w:rsidP="008D7A3D">
      <w:pPr>
        <w:numPr>
          <w:ilvl w:val="0"/>
          <w:numId w:val="5"/>
        </w:numPr>
      </w:pPr>
      <w:r w:rsidRPr="008D7A3D">
        <w:t xml:space="preserve">financial stability </w:t>
      </w:r>
    </w:p>
    <w:p w14:paraId="4A7EBC64" w14:textId="77777777" w:rsidR="008D7A3D" w:rsidRPr="008D7A3D" w:rsidRDefault="008D7A3D" w:rsidP="008D7A3D">
      <w:pPr>
        <w:numPr>
          <w:ilvl w:val="0"/>
          <w:numId w:val="5"/>
        </w:numPr>
      </w:pPr>
      <w:r w:rsidRPr="008D7A3D">
        <w:t xml:space="preserve">lender compliance </w:t>
      </w:r>
    </w:p>
    <w:p w14:paraId="7B0E1AF9" w14:textId="77777777" w:rsidR="008D7A3D" w:rsidRPr="008D7A3D" w:rsidRDefault="008D7A3D" w:rsidP="008D7A3D">
      <w:pPr>
        <w:numPr>
          <w:ilvl w:val="0"/>
          <w:numId w:val="5"/>
        </w:numPr>
      </w:pPr>
      <w:r w:rsidRPr="008D7A3D">
        <w:t xml:space="preserve">Seller Note servicing </w:t>
      </w:r>
    </w:p>
    <w:p w14:paraId="672DA9B5" w14:textId="77777777" w:rsidR="008D7A3D" w:rsidRPr="008D7A3D" w:rsidRDefault="008D7A3D" w:rsidP="008D7A3D">
      <w:r w:rsidRPr="008D7A3D">
        <w:t>12.2 No unilateral financial actions allowed during escalation.</w:t>
      </w:r>
    </w:p>
    <w:p w14:paraId="5DD46A48" w14:textId="77777777" w:rsidR="008D7A3D" w:rsidRPr="008D7A3D" w:rsidRDefault="008D7A3D" w:rsidP="008D7A3D">
      <w:r w:rsidRPr="008D7A3D">
        <w:pict w14:anchorId="61959BAC">
          <v:rect id="_x0000_i1121" style="width:0;height:1.5pt" o:hralign="center" o:hrstd="t" o:hr="t" fillcolor="#a0a0a0" stroked="f"/>
        </w:pict>
      </w:r>
    </w:p>
    <w:p w14:paraId="38FE2AB7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13 – Lender Priority</w:t>
      </w:r>
    </w:p>
    <w:p w14:paraId="09B9912A" w14:textId="77777777" w:rsidR="008D7A3D" w:rsidRPr="008D7A3D" w:rsidRDefault="008D7A3D" w:rsidP="008D7A3D">
      <w:r w:rsidRPr="008D7A3D">
        <w:t>13.1 Lender requirements shall prevail over this Agreement.</w:t>
      </w:r>
    </w:p>
    <w:p w14:paraId="2F02B434" w14:textId="77777777" w:rsidR="008D7A3D" w:rsidRPr="008D7A3D" w:rsidRDefault="008D7A3D" w:rsidP="008D7A3D">
      <w:r w:rsidRPr="008D7A3D">
        <w:t>13.2 All Members shall ensure compliance with debt covenants.</w:t>
      </w:r>
    </w:p>
    <w:p w14:paraId="15C7EE5C" w14:textId="77777777" w:rsidR="008D7A3D" w:rsidRPr="008D7A3D" w:rsidRDefault="008D7A3D" w:rsidP="008D7A3D">
      <w:r w:rsidRPr="008D7A3D">
        <w:pict w14:anchorId="4381FBE9">
          <v:rect id="_x0000_i1122" style="width:0;height:1.5pt" o:hralign="center" o:hrstd="t" o:hr="t" fillcolor="#a0a0a0" stroked="f"/>
        </w:pict>
      </w:r>
    </w:p>
    <w:p w14:paraId="320FED21" w14:textId="77777777" w:rsidR="008D7A3D" w:rsidRPr="008D7A3D" w:rsidRDefault="008D7A3D" w:rsidP="008D7A3D">
      <w:pPr>
        <w:rPr>
          <w:b/>
          <w:bCs/>
        </w:rPr>
      </w:pPr>
      <w:r w:rsidRPr="008D7A3D">
        <w:rPr>
          <w:b/>
          <w:bCs/>
        </w:rPr>
        <w:t>Section 14 – Financial Integrity</w:t>
      </w:r>
    </w:p>
    <w:p w14:paraId="2808DD30" w14:textId="77777777" w:rsidR="008D7A3D" w:rsidRPr="008D7A3D" w:rsidRDefault="008D7A3D" w:rsidP="008D7A3D">
      <w:r w:rsidRPr="008D7A3D">
        <w:t>No Member shall distort financial results or shift value unfairly between entities.</w:t>
      </w:r>
    </w:p>
    <w:p w14:paraId="2E1299E9" w14:textId="77777777" w:rsidR="008D7A3D" w:rsidRDefault="008D7A3D"/>
    <w:sectPr w:rsidR="008D7A3D" w:rsidSect="00D817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9CF"/>
    <w:multiLevelType w:val="multilevel"/>
    <w:tmpl w:val="D42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AA00D2"/>
    <w:multiLevelType w:val="multilevel"/>
    <w:tmpl w:val="31B4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555EF"/>
    <w:multiLevelType w:val="multilevel"/>
    <w:tmpl w:val="E0C4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AF2E43"/>
    <w:multiLevelType w:val="multilevel"/>
    <w:tmpl w:val="EA4C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6557A3"/>
    <w:multiLevelType w:val="multilevel"/>
    <w:tmpl w:val="B7A2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4400286">
    <w:abstractNumId w:val="1"/>
  </w:num>
  <w:num w:numId="2" w16cid:durableId="1023480729">
    <w:abstractNumId w:val="3"/>
  </w:num>
  <w:num w:numId="3" w16cid:durableId="1882935574">
    <w:abstractNumId w:val="0"/>
  </w:num>
  <w:num w:numId="4" w16cid:durableId="537085177">
    <w:abstractNumId w:val="4"/>
  </w:num>
  <w:num w:numId="5" w16cid:durableId="1884294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3D"/>
    <w:rsid w:val="00514CC4"/>
    <w:rsid w:val="008D7A3D"/>
    <w:rsid w:val="00C76456"/>
    <w:rsid w:val="00D8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E6B35"/>
  <w15:chartTrackingRefBased/>
  <w15:docId w15:val="{4DA603A9-605F-48C5-A8EA-7BB92ADF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A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A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A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A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A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A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A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A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A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A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A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A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A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A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696</Words>
  <Characters>4081</Characters>
  <Application>Microsoft Office Word</Application>
  <DocSecurity>0</DocSecurity>
  <Lines>151</Lines>
  <Paragraphs>129</Paragraphs>
  <ScaleCrop>false</ScaleCrop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Gonzalez</dc:creator>
  <cp:keywords/>
  <dc:description/>
  <cp:lastModifiedBy>Oscar Gonzalez</cp:lastModifiedBy>
  <cp:revision>3</cp:revision>
  <dcterms:created xsi:type="dcterms:W3CDTF">2026-03-27T03:10:00Z</dcterms:created>
  <dcterms:modified xsi:type="dcterms:W3CDTF">2026-03-27T03:28:00Z</dcterms:modified>
</cp:coreProperties>
</file>